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 xml:space="preserve">działań </w:t>
      </w:r>
      <w:proofErr w:type="spellStart"/>
      <w:r w:rsidRPr="00B93D56">
        <w:rPr>
          <w:sz w:val="20"/>
          <w:szCs w:val="20"/>
        </w:rPr>
        <w:t>informacyjno</w:t>
      </w:r>
      <w:proofErr w:type="spellEnd"/>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w:t>
      </w:r>
      <w:r w:rsidRPr="00A26E34">
        <w:rPr>
          <w:color w:val="000000"/>
          <w:sz w:val="20"/>
          <w:szCs w:val="20"/>
          <w:lang w:eastAsia="ar-SA"/>
        </w:rPr>
        <w:lastRenderedPageBreak/>
        <w:t xml:space="preserve">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zm</w:t>
      </w:r>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w:t>
      </w:r>
      <w:proofErr w:type="spellStart"/>
      <w:r w:rsidR="00376378" w:rsidRPr="0026497C">
        <w:rPr>
          <w:rFonts w:ascii="Times New Roman" w:hAnsi="Times New Roman" w:cs="Times New Roman"/>
          <w:bCs/>
          <w:iCs/>
          <w:color w:val="auto"/>
          <w:sz w:val="20"/>
          <w:szCs w:val="20"/>
        </w:rPr>
        <w:t>minimis</w:t>
      </w:r>
      <w:proofErr w:type="spellEnd"/>
      <w:r w:rsidR="00376378"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 xml:space="preserve">Dz. U. z 2020 r. poz. 1333, z </w:t>
      </w:r>
      <w:proofErr w:type="spellStart"/>
      <w:r w:rsidR="00550136" w:rsidRPr="00CB0941">
        <w:rPr>
          <w:sz w:val="20"/>
          <w:szCs w:val="20"/>
        </w:rPr>
        <w:t>późn</w:t>
      </w:r>
      <w:bookmarkEnd w:id="13"/>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 xml:space="preserve">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17B6" w14:textId="77777777" w:rsidR="00D07400" w:rsidRDefault="00D07400">
      <w:r>
        <w:separator/>
      </w:r>
    </w:p>
  </w:endnote>
  <w:endnote w:type="continuationSeparator" w:id="0">
    <w:p w14:paraId="444516BD" w14:textId="77777777" w:rsidR="00D07400" w:rsidRDefault="00D07400">
      <w:r>
        <w:continuationSeparator/>
      </w:r>
    </w:p>
  </w:endnote>
  <w:endnote w:type="continuationNotice" w:id="1">
    <w:p w14:paraId="1CD10E63" w14:textId="77777777" w:rsidR="00D07400" w:rsidRDefault="00D07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F127" w14:textId="77777777" w:rsidR="00D07400" w:rsidRDefault="00D07400">
      <w:r>
        <w:separator/>
      </w:r>
    </w:p>
  </w:footnote>
  <w:footnote w:type="continuationSeparator" w:id="0">
    <w:p w14:paraId="6725377F" w14:textId="77777777" w:rsidR="00D07400" w:rsidRDefault="00D07400">
      <w:r>
        <w:continuationSeparator/>
      </w:r>
    </w:p>
  </w:footnote>
  <w:footnote w:type="continuationNotice" w:id="1">
    <w:p w14:paraId="342AA483" w14:textId="77777777" w:rsidR="00D07400" w:rsidRDefault="00D07400"/>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004835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418372">
    <w:abstractNumId w:val="67"/>
  </w:num>
  <w:num w:numId="3" w16cid:durableId="1585840137">
    <w:abstractNumId w:val="5"/>
  </w:num>
  <w:num w:numId="4" w16cid:durableId="1966042266">
    <w:abstractNumId w:val="3"/>
  </w:num>
  <w:num w:numId="5" w16cid:durableId="2763708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1018365">
    <w:abstractNumId w:val="45"/>
  </w:num>
  <w:num w:numId="7" w16cid:durableId="696153384">
    <w:abstractNumId w:val="66"/>
  </w:num>
  <w:num w:numId="8" w16cid:durableId="1111826575">
    <w:abstractNumId w:val="54"/>
  </w:num>
  <w:num w:numId="9" w16cid:durableId="675957952">
    <w:abstractNumId w:val="64"/>
  </w:num>
  <w:num w:numId="10" w16cid:durableId="519903286">
    <w:abstractNumId w:val="29"/>
  </w:num>
  <w:num w:numId="11" w16cid:durableId="220604758">
    <w:abstractNumId w:val="0"/>
  </w:num>
  <w:num w:numId="12" w16cid:durableId="247005783">
    <w:abstractNumId w:val="55"/>
  </w:num>
  <w:num w:numId="13" w16cid:durableId="2139250865">
    <w:abstractNumId w:val="10"/>
  </w:num>
  <w:num w:numId="14" w16cid:durableId="1104811671">
    <w:abstractNumId w:val="27"/>
  </w:num>
  <w:num w:numId="15" w16cid:durableId="1269433491">
    <w:abstractNumId w:val="18"/>
  </w:num>
  <w:num w:numId="16" w16cid:durableId="1204294716">
    <w:abstractNumId w:val="52"/>
  </w:num>
  <w:num w:numId="17" w16cid:durableId="194006600">
    <w:abstractNumId w:val="22"/>
  </w:num>
  <w:num w:numId="18" w16cid:durableId="2017489884">
    <w:abstractNumId w:val="71"/>
  </w:num>
  <w:num w:numId="19" w16cid:durableId="592587207">
    <w:abstractNumId w:val="60"/>
  </w:num>
  <w:num w:numId="20" w16cid:durableId="1995333133">
    <w:abstractNumId w:val="39"/>
  </w:num>
  <w:num w:numId="21" w16cid:durableId="1570771822">
    <w:abstractNumId w:val="36"/>
  </w:num>
  <w:num w:numId="22" w16cid:durableId="666782591">
    <w:abstractNumId w:val="70"/>
  </w:num>
  <w:num w:numId="23" w16cid:durableId="1228371898">
    <w:abstractNumId w:val="43"/>
  </w:num>
  <w:num w:numId="24" w16cid:durableId="306009688">
    <w:abstractNumId w:val="57"/>
  </w:num>
  <w:num w:numId="25" w16cid:durableId="1251506403">
    <w:abstractNumId w:val="50"/>
  </w:num>
  <w:num w:numId="26" w16cid:durableId="1495141827">
    <w:abstractNumId w:val="76"/>
  </w:num>
  <w:num w:numId="27" w16cid:durableId="2116710756">
    <w:abstractNumId w:val="25"/>
  </w:num>
  <w:num w:numId="28" w16cid:durableId="831531044">
    <w:abstractNumId w:val="23"/>
  </w:num>
  <w:num w:numId="29" w16cid:durableId="888031178">
    <w:abstractNumId w:val="26"/>
  </w:num>
  <w:num w:numId="30" w16cid:durableId="987366142">
    <w:abstractNumId w:val="51"/>
  </w:num>
  <w:num w:numId="31" w16cid:durableId="1056666416">
    <w:abstractNumId w:val="47"/>
  </w:num>
  <w:num w:numId="32" w16cid:durableId="572351387">
    <w:abstractNumId w:val="31"/>
  </w:num>
  <w:num w:numId="33" w16cid:durableId="477574491">
    <w:abstractNumId w:val="77"/>
  </w:num>
  <w:num w:numId="34" w16cid:durableId="1460882215">
    <w:abstractNumId w:val="8"/>
  </w:num>
  <w:num w:numId="35" w16cid:durableId="211043525">
    <w:abstractNumId w:val="19"/>
  </w:num>
  <w:num w:numId="36" w16cid:durableId="352734121">
    <w:abstractNumId w:val="1"/>
  </w:num>
  <w:num w:numId="37" w16cid:durableId="38166496">
    <w:abstractNumId w:val="21"/>
  </w:num>
  <w:num w:numId="38" w16cid:durableId="1921982155">
    <w:abstractNumId w:val="49"/>
  </w:num>
  <w:num w:numId="39" w16cid:durableId="429207009">
    <w:abstractNumId w:val="63"/>
  </w:num>
  <w:num w:numId="40" w16cid:durableId="383068916">
    <w:abstractNumId w:val="41"/>
  </w:num>
  <w:num w:numId="41" w16cid:durableId="925725218">
    <w:abstractNumId w:val="32"/>
  </w:num>
  <w:num w:numId="42" w16cid:durableId="1883399468">
    <w:abstractNumId w:val="2"/>
  </w:num>
  <w:num w:numId="43" w16cid:durableId="105538328">
    <w:abstractNumId w:val="58"/>
  </w:num>
  <w:num w:numId="44" w16cid:durableId="1869945594">
    <w:abstractNumId w:val="11"/>
  </w:num>
  <w:num w:numId="45" w16cid:durableId="1196968413">
    <w:abstractNumId w:val="34"/>
  </w:num>
  <w:num w:numId="46" w16cid:durableId="1321696834">
    <w:abstractNumId w:val="48"/>
  </w:num>
  <w:num w:numId="47" w16cid:durableId="911895526">
    <w:abstractNumId w:val="17"/>
  </w:num>
  <w:num w:numId="48" w16cid:durableId="254945421">
    <w:abstractNumId w:val="65"/>
  </w:num>
  <w:num w:numId="49" w16cid:durableId="262034209">
    <w:abstractNumId w:val="79"/>
  </w:num>
  <w:num w:numId="50" w16cid:durableId="1197233621">
    <w:abstractNumId w:val="38"/>
  </w:num>
  <w:num w:numId="51" w16cid:durableId="473563839">
    <w:abstractNumId w:val="56"/>
  </w:num>
  <w:num w:numId="52" w16cid:durableId="2116437881">
    <w:abstractNumId w:val="74"/>
  </w:num>
  <w:num w:numId="53" w16cid:durableId="1666011658">
    <w:abstractNumId w:val="46"/>
  </w:num>
  <w:num w:numId="54" w16cid:durableId="707461493">
    <w:abstractNumId w:val="68"/>
  </w:num>
  <w:num w:numId="55" w16cid:durableId="810096113">
    <w:abstractNumId w:val="28"/>
  </w:num>
  <w:num w:numId="56" w16cid:durableId="622929741">
    <w:abstractNumId w:val="37"/>
  </w:num>
  <w:num w:numId="57" w16cid:durableId="1260410334">
    <w:abstractNumId w:val="20"/>
  </w:num>
  <w:num w:numId="58" w16cid:durableId="430079809">
    <w:abstractNumId w:val="15"/>
  </w:num>
  <w:num w:numId="59" w16cid:durableId="1681420968">
    <w:abstractNumId w:val="33"/>
  </w:num>
  <w:num w:numId="60" w16cid:durableId="744643965">
    <w:abstractNumId w:val="14"/>
  </w:num>
  <w:num w:numId="61" w16cid:durableId="2047482764">
    <w:abstractNumId w:val="72"/>
  </w:num>
  <w:num w:numId="62" w16cid:durableId="174468916">
    <w:abstractNumId w:val="44"/>
  </w:num>
  <w:num w:numId="63" w16cid:durableId="600527184">
    <w:abstractNumId w:val="75"/>
  </w:num>
  <w:num w:numId="64" w16cid:durableId="1031805253">
    <w:abstractNumId w:val="59"/>
  </w:num>
  <w:num w:numId="65" w16cid:durableId="834108460">
    <w:abstractNumId w:val="35"/>
  </w:num>
  <w:num w:numId="66" w16cid:durableId="1022822971">
    <w:abstractNumId w:val="16"/>
  </w:num>
  <w:num w:numId="67" w16cid:durableId="565650094">
    <w:abstractNumId w:val="6"/>
  </w:num>
  <w:num w:numId="68" w16cid:durableId="1187789839">
    <w:abstractNumId w:val="42"/>
  </w:num>
  <w:num w:numId="69" w16cid:durableId="2021542951">
    <w:abstractNumId w:val="7"/>
  </w:num>
  <w:num w:numId="70" w16cid:durableId="1902861219">
    <w:abstractNumId w:val="13"/>
  </w:num>
  <w:num w:numId="71" w16cid:durableId="635724801">
    <w:abstractNumId w:val="62"/>
  </w:num>
  <w:num w:numId="72" w16cid:durableId="1435513627">
    <w:abstractNumId w:val="53"/>
  </w:num>
  <w:num w:numId="73" w16cid:durableId="613681597">
    <w:abstractNumId w:val="9"/>
  </w:num>
  <w:num w:numId="74" w16cid:durableId="1710758845">
    <w:abstractNumId w:val="40"/>
  </w:num>
  <w:num w:numId="75" w16cid:durableId="336813660">
    <w:abstractNumId w:val="73"/>
  </w:num>
  <w:num w:numId="76" w16cid:durableId="780295332">
    <w:abstractNumId w:val="78"/>
  </w:num>
  <w:num w:numId="77" w16cid:durableId="550270302">
    <w:abstractNumId w:val="69"/>
  </w:num>
  <w:num w:numId="78" w16cid:durableId="678771957">
    <w:abstractNumId w:val="4"/>
  </w:num>
  <w:num w:numId="79" w16cid:durableId="1403596744">
    <w:abstractNumId w:val="30"/>
  </w:num>
  <w:num w:numId="80" w16cid:durableId="1381442514">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36"/>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1E81"/>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400"/>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8B"/>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customXml/itemProps2.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20774</Words>
  <Characters>124644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2022-06-22T11:48:00Z</dcterms:created>
  <dcterms:modified xsi:type="dcterms:W3CDTF">2022-06-22T11:48:00Z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